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21" w:rsidRDefault="00B74B21">
      <w:pPr>
        <w:jc w:val="right"/>
        <w:rPr>
          <w:sz w:val="27"/>
          <w:szCs w:val="27"/>
        </w:rPr>
      </w:pPr>
    </w:p>
    <w:p w:rsidR="00B74B21" w:rsidRDefault="00C83C5A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ПРИЛОЖЕНИЕ</w:t>
      </w:r>
    </w:p>
    <w:p w:rsidR="00B74B21" w:rsidRDefault="00C83C5A">
      <w:pPr>
        <w:jc w:val="right"/>
        <w:rPr>
          <w:sz w:val="27"/>
          <w:szCs w:val="27"/>
        </w:rPr>
      </w:pPr>
      <w:r>
        <w:rPr>
          <w:sz w:val="27"/>
          <w:szCs w:val="27"/>
        </w:rPr>
        <w:t>к решению Совета Нововеличковского</w:t>
      </w:r>
    </w:p>
    <w:p w:rsidR="00B74B21" w:rsidRDefault="00C83C5A">
      <w:pPr>
        <w:ind w:left="4248" w:firstLine="708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сельского поселения Динского района</w:t>
      </w:r>
    </w:p>
    <w:p w:rsidR="00B74B21" w:rsidRDefault="00C83C5A">
      <w:pPr>
        <w:jc w:val="center"/>
        <w:rPr>
          <w:b/>
          <w:sz w:val="28"/>
          <w:szCs w:val="28"/>
        </w:rPr>
      </w:pPr>
      <w:r>
        <w:rPr>
          <w:sz w:val="27"/>
          <w:szCs w:val="27"/>
        </w:rPr>
        <w:t xml:space="preserve">     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</w:t>
      </w:r>
      <w:r>
        <w:rPr>
          <w:sz w:val="27"/>
          <w:szCs w:val="27"/>
        </w:rPr>
        <w:t>от 19.11.2018 г.</w:t>
      </w:r>
      <w:r>
        <w:rPr>
          <w:sz w:val="27"/>
          <w:szCs w:val="27"/>
        </w:rPr>
        <w:t xml:space="preserve"> № 301-67/3</w:t>
      </w:r>
      <w:bookmarkStart w:id="0" w:name="_GoBack"/>
      <w:bookmarkEnd w:id="0"/>
    </w:p>
    <w:p w:rsidR="00B74B21" w:rsidRDefault="00B74B21">
      <w:pPr>
        <w:jc w:val="center"/>
        <w:rPr>
          <w:b/>
          <w:sz w:val="28"/>
          <w:szCs w:val="28"/>
        </w:rPr>
      </w:pPr>
    </w:p>
    <w:p w:rsidR="00B74B21" w:rsidRDefault="00B74B21">
      <w:pPr>
        <w:jc w:val="center"/>
        <w:rPr>
          <w:b/>
          <w:sz w:val="28"/>
          <w:szCs w:val="28"/>
        </w:rPr>
      </w:pPr>
    </w:p>
    <w:p w:rsidR="00B74B21" w:rsidRDefault="00C83C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B74B21" w:rsidRDefault="00B74B21">
      <w:pPr>
        <w:pStyle w:val="2"/>
        <w:rPr>
          <w:szCs w:val="28"/>
        </w:rPr>
      </w:pPr>
    </w:p>
    <w:p w:rsidR="00B74B21" w:rsidRDefault="00C83C5A">
      <w:pPr>
        <w:pStyle w:val="2"/>
        <w:rPr>
          <w:b/>
          <w:szCs w:val="28"/>
        </w:rPr>
      </w:pPr>
      <w:r>
        <w:rPr>
          <w:szCs w:val="28"/>
        </w:rPr>
        <w:t>к решени</w:t>
      </w:r>
      <w:r>
        <w:rPr>
          <w:szCs w:val="28"/>
        </w:rPr>
        <w:t>ю</w:t>
      </w:r>
      <w:r>
        <w:rPr>
          <w:szCs w:val="28"/>
        </w:rPr>
        <w:t xml:space="preserve"> Совета </w:t>
      </w:r>
      <w:r>
        <w:rPr>
          <w:szCs w:val="28"/>
        </w:rPr>
        <w:t>Нововеличковс</w:t>
      </w:r>
      <w:r>
        <w:rPr>
          <w:szCs w:val="28"/>
        </w:rPr>
        <w:t>кого сельского поселения Динского района</w:t>
      </w:r>
      <w:r>
        <w:rPr>
          <w:bCs/>
          <w:szCs w:val="28"/>
        </w:rPr>
        <w:t xml:space="preserve"> «Об индикативном плане социально-экономического развития Нововеличковского сельского поселения Динского района на 2019 год»</w:t>
      </w:r>
    </w:p>
    <w:p w:rsidR="00B74B21" w:rsidRDefault="00B74B21">
      <w:pPr>
        <w:rPr>
          <w:sz w:val="28"/>
          <w:highlight w:val="yellow"/>
        </w:rPr>
      </w:pPr>
    </w:p>
    <w:p w:rsidR="00B74B21" w:rsidRDefault="00B74B21">
      <w:pPr>
        <w:pStyle w:val="1"/>
        <w:ind w:firstLine="720"/>
        <w:jc w:val="both"/>
      </w:pPr>
    </w:p>
    <w:p w:rsidR="00B74B21" w:rsidRDefault="00C83C5A">
      <w:pPr>
        <w:pStyle w:val="1"/>
        <w:ind w:firstLine="720"/>
        <w:jc w:val="both"/>
        <w:rPr>
          <w:sz w:val="24"/>
        </w:rPr>
      </w:pPr>
      <w:proofErr w:type="gramStart"/>
      <w:r>
        <w:t>Разработка индикативного плана социально-экономического развития   Нововеличковского сельского поселения на 2019 год осуществляла</w:t>
      </w:r>
      <w:r>
        <w:t xml:space="preserve">сь в целях реализации нормативных и законодательных актов Российской Федерации, </w:t>
      </w:r>
      <w:r>
        <w:rPr>
          <w:szCs w:val="28"/>
        </w:rPr>
        <w:t>Краснодарского</w:t>
      </w:r>
      <w:r>
        <w:t xml:space="preserve"> края и Динского района о прогнозировании и индикативном планировании, </w:t>
      </w:r>
      <w:r>
        <w:rPr>
          <w:szCs w:val="28"/>
        </w:rPr>
        <w:t xml:space="preserve">Законом Краснодарского края от 6 ноября 2015 года № 3267-КЗ «О стратегическом планировании </w:t>
      </w:r>
      <w:r>
        <w:rPr>
          <w:szCs w:val="28"/>
        </w:rPr>
        <w:t>и индикативных планах социально-экономического развития в Краснодарском крае».</w:t>
      </w:r>
      <w:proofErr w:type="gramEnd"/>
    </w:p>
    <w:p w:rsidR="00B74B21" w:rsidRDefault="00C83C5A">
      <w:pPr>
        <w:pStyle w:val="a6"/>
        <w:jc w:val="both"/>
      </w:pPr>
      <w:r>
        <w:t>В основу индикативного плана социально-экономического развития поселения положены:</w:t>
      </w:r>
    </w:p>
    <w:p w:rsidR="00B74B21" w:rsidRDefault="00C83C5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основные задачи функционирования хозяйственного комплекса поселения, определяемые необходимост</w:t>
      </w:r>
      <w:r>
        <w:rPr>
          <w:sz w:val="28"/>
        </w:rPr>
        <w:t>ью последовательного повышения уровня жизни населения за счет вовлечения резервов роста налогооблагаемой базы реального сектора экономики;</w:t>
      </w:r>
    </w:p>
    <w:p w:rsidR="00B74B21" w:rsidRDefault="00C83C5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итоги и перспективы развития отраслей экономики поселения;</w:t>
      </w:r>
    </w:p>
    <w:p w:rsidR="00B74B21" w:rsidRDefault="00C83C5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методические рекомендации Министерства экономического разв</w:t>
      </w:r>
      <w:r>
        <w:rPr>
          <w:sz w:val="28"/>
        </w:rPr>
        <w:t>ития Российской Федерации;</w:t>
      </w:r>
    </w:p>
    <w:p w:rsidR="00B74B21" w:rsidRDefault="00C83C5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lastRenderedPageBreak/>
        <w:t>оценка развития экономики поселения в 2018 году.</w:t>
      </w:r>
    </w:p>
    <w:p w:rsidR="00B74B21" w:rsidRDefault="00C83C5A">
      <w:pPr>
        <w:pStyle w:val="20"/>
      </w:pPr>
      <w:proofErr w:type="gramStart"/>
      <w:r>
        <w:t>При расчете прогнозных показателей использовались рекомендованные Министерством экономического развития Российской Федерации и департаментом экономического развития, инвестиций и в</w:t>
      </w:r>
      <w:r>
        <w:t>нешних связей индексы цен, дифференцированные с учетом развития инфляционных процессов в крае и районе и особенностями функционирования отдельных отраслей и сфер хозяйственного комплекса в текущем году.</w:t>
      </w:r>
      <w:proofErr w:type="gramEnd"/>
    </w:p>
    <w:p w:rsidR="00B74B21" w:rsidRDefault="00C83C5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Численность жителей сельского поселения по данным орг</w:t>
      </w:r>
      <w:r>
        <w:rPr>
          <w:sz w:val="28"/>
          <w:szCs w:val="28"/>
        </w:rPr>
        <w:t>анов статистики в 2018 году составила 12,93 тыс. человек, которая к уровню 2017 года выросла  на 1,1%. В 2019 году ожидается рост численности жителей на 1,2%. Увеличение численности населения происходит за счет миграционного прироста, чему способствуют удо</w:t>
      </w:r>
      <w:r>
        <w:rPr>
          <w:sz w:val="28"/>
          <w:szCs w:val="28"/>
        </w:rPr>
        <w:t>бное географическое расположение поселения, благоприятные климатические условия и комфортные условия проживания.</w:t>
      </w:r>
      <w:proofErr w:type="gramEnd"/>
    </w:p>
    <w:p w:rsidR="00B74B21" w:rsidRDefault="00C83C5A">
      <w:pPr>
        <w:pStyle w:val="20"/>
        <w:tabs>
          <w:tab w:val="left" w:pos="720"/>
        </w:tabs>
        <w:rPr>
          <w:szCs w:val="28"/>
        </w:rPr>
      </w:pPr>
      <w:r>
        <w:rPr>
          <w:szCs w:val="28"/>
        </w:rPr>
        <w:t>Среднедушевой денежный доход на одного жителя в 2018 году по сравнению с 2017 годом увеличился на 6,9%, а в 2019 году по прогнозным данным увел</w:t>
      </w:r>
      <w:r>
        <w:rPr>
          <w:szCs w:val="28"/>
        </w:rPr>
        <w:t>ичится на 5,3% по сравнению с 2018 годом и составит на одного жителя 14 034,70 рублей.</w:t>
      </w:r>
      <w:r>
        <w:t xml:space="preserve"> </w:t>
      </w:r>
      <w:r>
        <w:rPr>
          <w:szCs w:val="28"/>
        </w:rPr>
        <w:t>На рост среднедушевых доходов оказали влияние рост заработной платы, валоризация пенсий, рост и индексация социальных выплат.</w:t>
      </w:r>
    </w:p>
    <w:p w:rsidR="00B74B21" w:rsidRDefault="00C83C5A">
      <w:pPr>
        <w:pStyle w:val="20"/>
        <w:tabs>
          <w:tab w:val="left" w:pos="720"/>
        </w:tabs>
        <w:rPr>
          <w:szCs w:val="28"/>
        </w:rPr>
      </w:pPr>
      <w:proofErr w:type="gramStart"/>
      <w:r>
        <w:rPr>
          <w:szCs w:val="28"/>
        </w:rPr>
        <w:t>В 2018 году увеличение наблюдается по номин</w:t>
      </w:r>
      <w:r>
        <w:rPr>
          <w:szCs w:val="28"/>
        </w:rPr>
        <w:t>альной начисленной среднемесячной заработной плате, по отношению к 2017 году, рост составил 7,5%.   Фонд оплаты труда в 2019 году тоже возрастет на 4,8%. Рост данных показателей связан с материальной поддержкой работников образования, здравоохранения и кул</w:t>
      </w:r>
      <w:r>
        <w:rPr>
          <w:szCs w:val="28"/>
        </w:rPr>
        <w:t xml:space="preserve">ьтуры из краевого и районного бюджетов. </w:t>
      </w:r>
      <w:proofErr w:type="gramEnd"/>
    </w:p>
    <w:p w:rsidR="00B74B21" w:rsidRDefault="00C83C5A">
      <w:pPr>
        <w:ind w:firstLine="709"/>
        <w:jc w:val="both"/>
        <w:rPr>
          <w:color w:val="000000"/>
        </w:rPr>
      </w:pPr>
      <w:r>
        <w:rPr>
          <w:sz w:val="28"/>
          <w:szCs w:val="28"/>
        </w:rPr>
        <w:t xml:space="preserve">Численность зарегистрированных безработных в службе занятости 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2017 года составляла 0,033 тыс. человек. </w:t>
      </w:r>
      <w:proofErr w:type="gramStart"/>
      <w:r>
        <w:rPr>
          <w:sz w:val="28"/>
          <w:szCs w:val="28"/>
        </w:rPr>
        <w:t>В 2018 году ожидается снижение численности безработных граждан, состоящих на учете в службе занятости до 0,030 тыс. человек или на 9,1%. В 2019</w:t>
      </w:r>
      <w:r>
        <w:rPr>
          <w:sz w:val="28"/>
          <w:szCs w:val="28"/>
        </w:rPr>
        <w:t xml:space="preserve"> году численность безработных составит 0,033 тыс. человек, и по отношения к 2018 году увеличится на 10%. Уровень регистрируемой безработицы в оценке 2018 года составил 0,6% к численности трудоспособного населения в трудоспособном возрасте, и в сравнении с </w:t>
      </w:r>
      <w:r>
        <w:rPr>
          <w:sz w:val="28"/>
          <w:szCs w:val="28"/>
        </w:rPr>
        <w:t>2017</w:t>
      </w:r>
      <w:proofErr w:type="gramEnd"/>
      <w:r>
        <w:rPr>
          <w:sz w:val="28"/>
          <w:szCs w:val="28"/>
        </w:rPr>
        <w:t xml:space="preserve"> годом снизился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,1%, в </w:t>
      </w:r>
      <w:r>
        <w:rPr>
          <w:sz w:val="28"/>
          <w:szCs w:val="28"/>
        </w:rPr>
        <w:t xml:space="preserve">2019 году ожидается, что данный показатель останется на уровне 2018 года.  </w:t>
      </w:r>
      <w:r>
        <w:rPr>
          <w:color w:val="000000"/>
          <w:sz w:val="28"/>
          <w:szCs w:val="28"/>
        </w:rPr>
        <w:t xml:space="preserve">Службой занятости принимаются меры по снижению напряженности на рынке труда, проводятся выездные приемы граждан, </w:t>
      </w:r>
      <w:proofErr w:type="spellStart"/>
      <w:r>
        <w:rPr>
          <w:color w:val="000000"/>
          <w:sz w:val="28"/>
          <w:szCs w:val="28"/>
        </w:rPr>
        <w:t>предувольнительные</w:t>
      </w:r>
      <w:proofErr w:type="spellEnd"/>
      <w:r>
        <w:rPr>
          <w:color w:val="000000"/>
          <w:sz w:val="28"/>
          <w:szCs w:val="28"/>
        </w:rPr>
        <w:t xml:space="preserve"> консультации гражд</w:t>
      </w:r>
      <w:r>
        <w:rPr>
          <w:color w:val="000000"/>
          <w:sz w:val="28"/>
          <w:szCs w:val="28"/>
        </w:rPr>
        <w:t xml:space="preserve">ан, мониторинг вакансий рабочих мест и пр. </w:t>
      </w:r>
    </w:p>
    <w:p w:rsidR="00B74B21" w:rsidRDefault="00C83C5A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lastRenderedPageBreak/>
        <w:t xml:space="preserve">Объем продукции сельского хозяйства всех категорий хозяйств по оценочным данным 2018 года незначительно снизится на </w:t>
      </w:r>
      <w:r>
        <w:rPr>
          <w:sz w:val="28"/>
        </w:rPr>
        <w:t>1</w:t>
      </w:r>
      <w:r>
        <w:rPr>
          <w:sz w:val="28"/>
        </w:rPr>
        <w:t>,</w:t>
      </w:r>
      <w:r>
        <w:rPr>
          <w:sz w:val="28"/>
        </w:rPr>
        <w:t>9</w:t>
      </w:r>
      <w:r>
        <w:rPr>
          <w:sz w:val="28"/>
        </w:rPr>
        <w:t xml:space="preserve">% по сравнению с отчетом 2017 года и составил 1722,9 млн. руб., что связано со снижением объема продукции </w:t>
      </w:r>
      <w:r>
        <w:rPr>
          <w:sz w:val="28"/>
          <w:szCs w:val="28"/>
        </w:rPr>
        <w:t>в сельскохозяйственных организациях, тогда как в</w:t>
      </w:r>
      <w:r>
        <w:rPr>
          <w:sz w:val="28"/>
        </w:rPr>
        <w:t xml:space="preserve"> крестьянских (фермерских) хозяйствах и хозяйствах индивидуальных предпринимателей и личных подсобных </w:t>
      </w:r>
      <w:r>
        <w:rPr>
          <w:sz w:val="28"/>
        </w:rPr>
        <w:t>хозяйствах наблюдается небольшой рост.</w:t>
      </w:r>
      <w:proofErr w:type="gramEnd"/>
      <w:r>
        <w:rPr>
          <w:sz w:val="28"/>
        </w:rPr>
        <w:t xml:space="preserve"> В 2019 году объем производства продукции сельского хозяйства ожидается выше, чем в 2018 году на 4%. </w:t>
      </w:r>
    </w:p>
    <w:p w:rsidR="00B74B21" w:rsidRDefault="00C83C5A">
      <w:pPr>
        <w:ind w:firstLine="720"/>
        <w:jc w:val="both"/>
        <w:rPr>
          <w:sz w:val="28"/>
          <w:szCs w:val="28"/>
        </w:rPr>
      </w:pPr>
      <w:r>
        <w:rPr>
          <w:iCs/>
          <w:sz w:val="28"/>
        </w:rPr>
        <w:t xml:space="preserve">По оценочным данным в 2018 году производство зерновых культур  уменьшилось на 3,5% по отношению к отчету 2017 года, </w:t>
      </w:r>
      <w:r>
        <w:rPr>
          <w:iCs/>
          <w:sz w:val="28"/>
        </w:rPr>
        <w:t>он составит 43,9 тыс. тонн. В 2019 году данный показатель планируется в размере 46,2 тыс. тонн. Производство</w:t>
      </w:r>
      <w:r>
        <w:rPr>
          <w:sz w:val="28"/>
          <w:szCs w:val="28"/>
        </w:rPr>
        <w:t xml:space="preserve"> овощей</w:t>
      </w:r>
      <w:r>
        <w:rPr>
          <w:iCs/>
          <w:sz w:val="28"/>
        </w:rPr>
        <w:t xml:space="preserve"> в 2018 году по отношению к 2017 году по оценочным данным не изменилось, в 2019 году показатель планируется на том же уровне, в размере 4,1 т</w:t>
      </w:r>
      <w:r>
        <w:rPr>
          <w:iCs/>
          <w:sz w:val="28"/>
        </w:rPr>
        <w:t>ыс. тонн.</w:t>
      </w:r>
      <w:r>
        <w:rPr>
          <w:sz w:val="28"/>
          <w:szCs w:val="28"/>
        </w:rPr>
        <w:t xml:space="preserve"> Производство плодов и ягод в оценке 2018 года снизилось на 0,7% по отношению к отчету 2017 года, в том числе, как в</w:t>
      </w:r>
      <w:r>
        <w:rPr>
          <w:sz w:val="28"/>
        </w:rPr>
        <w:t xml:space="preserve"> крестьянских (фермерских) хозяйствах и хозяйствах индивидуальных предпринимателей так и в личных подсобных хозяйствах. На 2019 год</w:t>
      </w:r>
      <w:r>
        <w:rPr>
          <w:sz w:val="28"/>
        </w:rPr>
        <w:t xml:space="preserve"> планируется рост данного показателя на 1,9% к уровню 2018 года. </w:t>
      </w:r>
      <w:r>
        <w:rPr>
          <w:sz w:val="28"/>
          <w:szCs w:val="28"/>
        </w:rPr>
        <w:t xml:space="preserve"> Производство винограда в оценке 2018 года составило 0,013 </w:t>
      </w:r>
      <w:r>
        <w:rPr>
          <w:iCs/>
          <w:sz w:val="28"/>
        </w:rPr>
        <w:t>тыс. тонн</w:t>
      </w:r>
      <w:proofErr w:type="gramStart"/>
      <w:r>
        <w:rPr>
          <w:iCs/>
          <w:sz w:val="28"/>
        </w:rPr>
        <w:t>.</w:t>
      </w:r>
      <w:proofErr w:type="gramEnd"/>
      <w:r>
        <w:rPr>
          <w:iCs/>
          <w:sz w:val="28"/>
        </w:rPr>
        <w:t xml:space="preserve"> </w:t>
      </w:r>
      <w:proofErr w:type="gramStart"/>
      <w:r>
        <w:rPr>
          <w:iCs/>
          <w:sz w:val="28"/>
        </w:rPr>
        <w:t>и</w:t>
      </w:r>
      <w:proofErr w:type="gramEnd"/>
      <w:r>
        <w:rPr>
          <w:iCs/>
          <w:sz w:val="28"/>
        </w:rPr>
        <w:t xml:space="preserve"> не изменилось к отчету 2017 года. П</w:t>
      </w:r>
      <w:r>
        <w:rPr>
          <w:sz w:val="28"/>
          <w:szCs w:val="28"/>
        </w:rPr>
        <w:t>роизводство</w:t>
      </w:r>
      <w:r>
        <w:rPr>
          <w:iCs/>
          <w:sz w:val="28"/>
        </w:rPr>
        <w:t xml:space="preserve"> картофеля, сои и подсолнечника</w:t>
      </w:r>
      <w:r>
        <w:rPr>
          <w:sz w:val="28"/>
          <w:szCs w:val="28"/>
        </w:rPr>
        <w:t xml:space="preserve"> по оценочным данным 2018 года не изменило</w:t>
      </w:r>
      <w:r>
        <w:rPr>
          <w:sz w:val="28"/>
          <w:szCs w:val="28"/>
        </w:rPr>
        <w:t xml:space="preserve">сь по отношению к отчету 2017 года и ожидается выше в 2018 году на 10,4%. </w:t>
      </w:r>
    </w:p>
    <w:p w:rsidR="00B74B21" w:rsidRDefault="00C83C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скота и птицы в живом весе в 2018 году ожидается увеличение отчета 2017 года  и составит 0,317 тыс. тонн. В прогнозе 2019 года к оценке 2018 года ожидается увеличение в</w:t>
      </w:r>
      <w:r>
        <w:rPr>
          <w:sz w:val="28"/>
          <w:szCs w:val="28"/>
        </w:rPr>
        <w:t>сего по показателю на 1,9%. Производство молока в оценке  2018 года ожидается на уровне отчета 2017 года и составит 0,979 тыс. тонн, в 2019 году планируется увеличить производство молока на 8,7%.</w:t>
      </w:r>
    </w:p>
    <w:p w:rsidR="00B74B21" w:rsidRDefault="00C83C5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Численность поголовья сельскохозяйственных животных (крупног</w:t>
      </w:r>
      <w:r>
        <w:rPr>
          <w:sz w:val="28"/>
          <w:szCs w:val="28"/>
        </w:rPr>
        <w:t xml:space="preserve">о рогатого скота) в оценке 2018 года по сравнению с 2017 годом уменьшилось на 1%. В 2019 году планируется повышение этого показателя на 3%. Численность поголовья овец в 2018 году по сравнению с 2017 годом  </w:t>
      </w:r>
      <w:r>
        <w:rPr>
          <w:iCs/>
          <w:sz w:val="28"/>
        </w:rPr>
        <w:t>увеличи</w:t>
      </w:r>
      <w:r>
        <w:rPr>
          <w:sz w:val="28"/>
          <w:szCs w:val="28"/>
        </w:rPr>
        <w:t>лась на  9%, в 2019 году планируется прирос</w:t>
      </w:r>
      <w:r>
        <w:rPr>
          <w:sz w:val="28"/>
          <w:szCs w:val="28"/>
        </w:rPr>
        <w:t>т на 1</w:t>
      </w:r>
      <w:r>
        <w:rPr>
          <w:sz w:val="28"/>
          <w:szCs w:val="28"/>
        </w:rPr>
        <w:t>,</w:t>
      </w:r>
      <w:r>
        <w:rPr>
          <w:sz w:val="28"/>
          <w:szCs w:val="28"/>
        </w:rPr>
        <w:t>3% к оценке 2018 года.</w:t>
      </w:r>
      <w:proofErr w:type="gramEnd"/>
      <w:r>
        <w:rPr>
          <w:sz w:val="28"/>
          <w:szCs w:val="28"/>
        </w:rPr>
        <w:t xml:space="preserve"> Численность поголовья птицы в оценке 2018 года увеличилась до 1 тыс. голов, по сравнению с отчетом 2017 года рост составил 5,3%. В 2019 году планируется увеличение поголовья до 21 тыс. голов.</w:t>
      </w:r>
    </w:p>
    <w:p w:rsidR="00B74B21" w:rsidRDefault="00C83C5A">
      <w:pPr>
        <w:ind w:firstLine="708"/>
        <w:jc w:val="both"/>
        <w:rPr>
          <w:sz w:val="28"/>
          <w:szCs w:val="28"/>
        </w:rPr>
      </w:pPr>
      <w:r>
        <w:rPr>
          <w:iCs/>
          <w:sz w:val="28"/>
        </w:rPr>
        <w:t>Оборот розничной торговли в 2018 г</w:t>
      </w:r>
      <w:r>
        <w:rPr>
          <w:iCs/>
          <w:sz w:val="28"/>
        </w:rPr>
        <w:t xml:space="preserve">оду увеличился на 7,1% по отношению к 2017 году, что связано с увеличением ассортимента продукции </w:t>
      </w:r>
      <w:r>
        <w:rPr>
          <w:iCs/>
          <w:sz w:val="28"/>
        </w:rPr>
        <w:lastRenderedPageBreak/>
        <w:t>в некоторых торговых объектах, существовавших ранее. В 2019 году также  планируется увеличения оборота розничной торговли до 1590,0 млн. руб., или на 6,0% к о</w:t>
      </w:r>
      <w:r>
        <w:rPr>
          <w:iCs/>
          <w:sz w:val="28"/>
        </w:rPr>
        <w:t xml:space="preserve">ценке 2018 года. </w:t>
      </w:r>
      <w:r>
        <w:rPr>
          <w:sz w:val="28"/>
          <w:szCs w:val="28"/>
        </w:rPr>
        <w:t>Оборот общественного питания в 2018 году составил 30 млн. рублей и увеличился на 3,4% по отношению к отчету 2017 года. В 2019 году планируется увеличение оборота общественного питания на 4,7% к оценке 2018 года.</w:t>
      </w:r>
    </w:p>
    <w:p w:rsidR="00B74B21" w:rsidRDefault="00C83C5A">
      <w:pPr>
        <w:ind w:firstLine="720"/>
        <w:jc w:val="both"/>
        <w:rPr>
          <w:iCs/>
          <w:sz w:val="28"/>
        </w:rPr>
      </w:pPr>
      <w:proofErr w:type="gramStart"/>
      <w:r>
        <w:rPr>
          <w:iCs/>
          <w:sz w:val="28"/>
        </w:rPr>
        <w:t>Обеспеченность населения уч</w:t>
      </w:r>
      <w:r>
        <w:rPr>
          <w:iCs/>
          <w:sz w:val="28"/>
        </w:rPr>
        <w:t>реждениями социально-культурной сферы, в том числе амбулаторно-поликлиническими учреждениями, посещений в смену на 10 тыс. населения в оценке 2018 года осталось на прежнем уровне по отношению к отчету 2017 года</w:t>
      </w:r>
      <w:r>
        <w:t xml:space="preserve"> </w:t>
      </w:r>
      <w:r>
        <w:rPr>
          <w:iCs/>
          <w:sz w:val="28"/>
        </w:rPr>
        <w:t xml:space="preserve">за счёт увеличения среднегодовой численности </w:t>
      </w:r>
      <w:r>
        <w:rPr>
          <w:iCs/>
          <w:sz w:val="28"/>
        </w:rPr>
        <w:t>постоянного населения, а в 2019  году ожидается на том же уровне по отношению к оценке 2018 года.</w:t>
      </w:r>
      <w:proofErr w:type="gramEnd"/>
      <w:r>
        <w:rPr>
          <w:iCs/>
          <w:sz w:val="28"/>
        </w:rPr>
        <w:t xml:space="preserve"> </w:t>
      </w:r>
      <w:proofErr w:type="gramStart"/>
      <w:r>
        <w:rPr>
          <w:iCs/>
          <w:sz w:val="28"/>
        </w:rPr>
        <w:t>По этой же причине в 2018 году по отношению к 2017 году снизится обеспеченность населения учреждениями культурно</w:t>
      </w:r>
      <w:r>
        <w:rPr>
          <w:iCs/>
          <w:sz w:val="28"/>
        </w:rPr>
        <w:t xml:space="preserve"> </w:t>
      </w:r>
      <w:r>
        <w:rPr>
          <w:iCs/>
          <w:sz w:val="28"/>
        </w:rPr>
        <w:t>-</w:t>
      </w:r>
      <w:r>
        <w:rPr>
          <w:iCs/>
          <w:sz w:val="28"/>
        </w:rPr>
        <w:t xml:space="preserve"> </w:t>
      </w:r>
      <w:r>
        <w:rPr>
          <w:iCs/>
          <w:sz w:val="28"/>
        </w:rPr>
        <w:t>досугового типа на 100 тыс. населения на 1,</w:t>
      </w:r>
      <w:r>
        <w:rPr>
          <w:iCs/>
          <w:sz w:val="28"/>
        </w:rPr>
        <w:t>3</w:t>
      </w:r>
      <w:r>
        <w:rPr>
          <w:iCs/>
          <w:sz w:val="28"/>
        </w:rPr>
        <w:t xml:space="preserve"> %, а в 2019 году на 1,3%. В оценке 2018 года удельный вес населения, занимающегося спортом по отношению к отчету 2017 года не изменился и составляет 46,1%, поддержание показателя на достигнутом уровне связано с разработкой и</w:t>
      </w:r>
      <w:proofErr w:type="gramEnd"/>
      <w:r>
        <w:rPr>
          <w:iCs/>
          <w:sz w:val="28"/>
        </w:rPr>
        <w:t xml:space="preserve"> реализацией муниципальной про</w:t>
      </w:r>
      <w:r>
        <w:rPr>
          <w:iCs/>
          <w:sz w:val="28"/>
        </w:rPr>
        <w:t>граммы по развитию физической культуры и спорта на территории Нововеличковского сельского поселения на 2018 год, где основной целью является повышение роли физической культуры и спорта в жизни поселения и приобщения населения, особенно детей и молодежи к р</w:t>
      </w:r>
      <w:r>
        <w:rPr>
          <w:iCs/>
          <w:sz w:val="28"/>
        </w:rPr>
        <w:t xml:space="preserve">егулярным занятиям физической культурой и спортом. В 2019 году удельный вес населения, занимающегося спортом, планируется на уровне 46,1%. </w:t>
      </w:r>
    </w:p>
    <w:p w:rsidR="00B74B21" w:rsidRDefault="00C83C5A">
      <w:pPr>
        <w:ind w:firstLine="720"/>
        <w:jc w:val="both"/>
        <w:rPr>
          <w:iCs/>
          <w:sz w:val="28"/>
        </w:rPr>
      </w:pPr>
      <w:proofErr w:type="gramStart"/>
      <w:r>
        <w:rPr>
          <w:iCs/>
          <w:sz w:val="28"/>
        </w:rPr>
        <w:t>Количество детей дошкольного возраста, находящихся в очереди в учреждения дошкольного образования в оценке 2018 года</w:t>
      </w:r>
      <w:r>
        <w:rPr>
          <w:iCs/>
          <w:sz w:val="28"/>
        </w:rPr>
        <w:t xml:space="preserve"> к отчету 2017 года </w:t>
      </w:r>
      <w:r>
        <w:rPr>
          <w:iCs/>
          <w:sz w:val="28"/>
        </w:rPr>
        <w:t>увеличилось на 10,7%</w:t>
      </w:r>
      <w:r>
        <w:rPr>
          <w:iCs/>
          <w:sz w:val="28"/>
        </w:rPr>
        <w:t xml:space="preserve">, а в 2019 году планируется, что данный показатель </w:t>
      </w:r>
      <w:r>
        <w:rPr>
          <w:iCs/>
          <w:sz w:val="28"/>
        </w:rPr>
        <w:t>увеличится еще на 5,5%</w:t>
      </w:r>
      <w:r>
        <w:rPr>
          <w:iCs/>
          <w:sz w:val="28"/>
        </w:rPr>
        <w:t>.</w:t>
      </w:r>
      <w:r>
        <w:t xml:space="preserve"> </w:t>
      </w:r>
      <w:r>
        <w:rPr>
          <w:iCs/>
          <w:sz w:val="28"/>
        </w:rPr>
        <w:t>Охват детей в возрасте 1-6 лет дошкольными учреждениями в оценке 2018 года по отношению к отчету 2017 года незначительно снизился на 2,</w:t>
      </w:r>
      <w:r>
        <w:rPr>
          <w:iCs/>
          <w:sz w:val="28"/>
        </w:rPr>
        <w:t>1</w:t>
      </w:r>
      <w:r>
        <w:rPr>
          <w:iCs/>
          <w:sz w:val="28"/>
        </w:rPr>
        <w:t xml:space="preserve">%, а </w:t>
      </w:r>
      <w:r>
        <w:rPr>
          <w:iCs/>
          <w:sz w:val="28"/>
        </w:rPr>
        <w:t>в прогнозе 2019</w:t>
      </w:r>
      <w:proofErr w:type="gramEnd"/>
      <w:r>
        <w:rPr>
          <w:iCs/>
          <w:sz w:val="28"/>
        </w:rPr>
        <w:t xml:space="preserve"> года </w:t>
      </w:r>
      <w:r>
        <w:rPr>
          <w:iCs/>
          <w:sz w:val="28"/>
        </w:rPr>
        <w:t>данный показатель останется прежним</w:t>
      </w:r>
      <w:r>
        <w:rPr>
          <w:iCs/>
          <w:sz w:val="28"/>
        </w:rPr>
        <w:t xml:space="preserve">.    </w:t>
      </w:r>
    </w:p>
    <w:p w:rsidR="00B74B21" w:rsidRDefault="00C83C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Протяженность отремонтированных автомобильных дорог местного значения на территории поселения по отчету 2017 года составила 0,1 км. В </w:t>
      </w:r>
      <w:r>
        <w:rPr>
          <w:sz w:val="28"/>
          <w:szCs w:val="28"/>
        </w:rPr>
        <w:t xml:space="preserve">2018 году протяженность </w:t>
      </w:r>
      <w:r>
        <w:rPr>
          <w:sz w:val="28"/>
          <w:szCs w:val="28"/>
        </w:rPr>
        <w:t>отремонтированных автомобильных доро</w:t>
      </w:r>
      <w:r>
        <w:rPr>
          <w:sz w:val="28"/>
          <w:szCs w:val="28"/>
        </w:rPr>
        <w:t>г местного значения на территории поселения</w:t>
      </w:r>
      <w:r>
        <w:rPr>
          <w:sz w:val="28"/>
          <w:szCs w:val="28"/>
        </w:rPr>
        <w:t xml:space="preserve"> составила 3,364 км, также </w:t>
      </w:r>
      <w:r>
        <w:rPr>
          <w:sz w:val="28"/>
          <w:szCs w:val="28"/>
        </w:rPr>
        <w:t xml:space="preserve">были проведены работы по </w:t>
      </w:r>
      <w:proofErr w:type="spellStart"/>
      <w:r>
        <w:rPr>
          <w:sz w:val="28"/>
          <w:szCs w:val="28"/>
        </w:rPr>
        <w:t>грейдированию</w:t>
      </w:r>
      <w:proofErr w:type="spellEnd"/>
      <w:r>
        <w:rPr>
          <w:sz w:val="28"/>
          <w:szCs w:val="28"/>
        </w:rPr>
        <w:t xml:space="preserve"> (профилированию гравийного покрытия, обновление и нарезка боковых водоотводных канав, срезка завышенных участков). В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году планируется ремонт 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автомобильных дорог местного значения на территории поселения протяженностью </w:t>
      </w:r>
      <w:r>
        <w:rPr>
          <w:sz w:val="28"/>
          <w:szCs w:val="28"/>
        </w:rPr>
        <w:t>66</w:t>
      </w:r>
      <w:r>
        <w:rPr>
          <w:sz w:val="28"/>
          <w:szCs w:val="28"/>
        </w:rPr>
        <w:t xml:space="preserve"> км.</w:t>
      </w:r>
    </w:p>
    <w:p w:rsidR="00B74B21" w:rsidRDefault="00B74B21">
      <w:pPr>
        <w:ind w:firstLine="709"/>
        <w:jc w:val="both"/>
        <w:rPr>
          <w:sz w:val="28"/>
          <w:szCs w:val="28"/>
        </w:rPr>
      </w:pPr>
    </w:p>
    <w:p w:rsidR="00B74B21" w:rsidRDefault="00C83C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4B21" w:rsidRDefault="00B74B21">
      <w:pPr>
        <w:ind w:firstLine="708"/>
        <w:jc w:val="both"/>
        <w:rPr>
          <w:sz w:val="28"/>
          <w:szCs w:val="28"/>
        </w:rPr>
      </w:pPr>
    </w:p>
    <w:p w:rsidR="00B74B21" w:rsidRDefault="00B74B21">
      <w:pPr>
        <w:ind w:firstLine="709"/>
        <w:jc w:val="both"/>
        <w:rPr>
          <w:sz w:val="28"/>
          <w:szCs w:val="28"/>
        </w:rPr>
      </w:pPr>
    </w:p>
    <w:p w:rsidR="00B74B21" w:rsidRDefault="00C83C5A">
      <w:pPr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Нововвеличков</w:t>
      </w:r>
      <w:r>
        <w:rPr>
          <w:sz w:val="28"/>
        </w:rPr>
        <w:t>ского</w:t>
      </w:r>
      <w:proofErr w:type="spellEnd"/>
    </w:p>
    <w:p w:rsidR="00B74B21" w:rsidRDefault="00C83C5A">
      <w:pPr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    </w:t>
      </w:r>
      <w:r>
        <w:rPr>
          <w:sz w:val="28"/>
        </w:rPr>
        <w:tab/>
      </w:r>
      <w:proofErr w:type="spellStart"/>
      <w:r>
        <w:rPr>
          <w:sz w:val="28"/>
        </w:rPr>
        <w:t>Г.М.Кова</w:t>
      </w:r>
      <w:proofErr w:type="spellEnd"/>
    </w:p>
    <w:p w:rsidR="00B74B21" w:rsidRDefault="00B74B21">
      <w:pPr>
        <w:jc w:val="both"/>
      </w:pPr>
    </w:p>
    <w:p w:rsidR="00B74B21" w:rsidRDefault="00B74B21">
      <w:pPr>
        <w:rPr>
          <w:sz w:val="28"/>
        </w:rPr>
      </w:pPr>
    </w:p>
    <w:p w:rsidR="00B74B21" w:rsidRDefault="00B74B21">
      <w:pPr>
        <w:rPr>
          <w:sz w:val="28"/>
        </w:rPr>
      </w:pPr>
    </w:p>
    <w:p w:rsidR="00B74B21" w:rsidRDefault="00B74B21">
      <w:pPr>
        <w:rPr>
          <w:sz w:val="28"/>
        </w:rPr>
      </w:pPr>
    </w:p>
    <w:sectPr w:rsidR="00B74B21">
      <w:pgSz w:w="11906" w:h="16838"/>
      <w:pgMar w:top="719" w:right="850" w:bottom="9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D3821"/>
    <w:multiLevelType w:val="multilevel"/>
    <w:tmpl w:val="36BD3821"/>
    <w:lvl w:ilvl="0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A74F2"/>
    <w:rsid w:val="000051C4"/>
    <w:rsid w:val="00005BA7"/>
    <w:rsid w:val="00010A70"/>
    <w:rsid w:val="00010C6A"/>
    <w:rsid w:val="00012012"/>
    <w:rsid w:val="0002225A"/>
    <w:rsid w:val="000267F1"/>
    <w:rsid w:val="0002693A"/>
    <w:rsid w:val="00053137"/>
    <w:rsid w:val="00071398"/>
    <w:rsid w:val="00073B16"/>
    <w:rsid w:val="000777BD"/>
    <w:rsid w:val="00083B3B"/>
    <w:rsid w:val="00086252"/>
    <w:rsid w:val="000A6E87"/>
    <w:rsid w:val="000D3E61"/>
    <w:rsid w:val="001009AE"/>
    <w:rsid w:val="00157F34"/>
    <w:rsid w:val="00177089"/>
    <w:rsid w:val="00180F5C"/>
    <w:rsid w:val="001824AE"/>
    <w:rsid w:val="00195F86"/>
    <w:rsid w:val="001A712F"/>
    <w:rsid w:val="001B7521"/>
    <w:rsid w:val="001C6ED7"/>
    <w:rsid w:val="00200B93"/>
    <w:rsid w:val="00211926"/>
    <w:rsid w:val="0022590D"/>
    <w:rsid w:val="00250246"/>
    <w:rsid w:val="00254BA0"/>
    <w:rsid w:val="00273AEB"/>
    <w:rsid w:val="00286742"/>
    <w:rsid w:val="00293F0B"/>
    <w:rsid w:val="002A3C37"/>
    <w:rsid w:val="002A4C01"/>
    <w:rsid w:val="002B522E"/>
    <w:rsid w:val="002E07C6"/>
    <w:rsid w:val="00301BF2"/>
    <w:rsid w:val="00304AA0"/>
    <w:rsid w:val="00327099"/>
    <w:rsid w:val="00333F84"/>
    <w:rsid w:val="00341D7B"/>
    <w:rsid w:val="0037687F"/>
    <w:rsid w:val="00377FA3"/>
    <w:rsid w:val="0038699A"/>
    <w:rsid w:val="00396BB7"/>
    <w:rsid w:val="003A36F0"/>
    <w:rsid w:val="003A47AB"/>
    <w:rsid w:val="003C1CCF"/>
    <w:rsid w:val="003D0C4D"/>
    <w:rsid w:val="003D14F9"/>
    <w:rsid w:val="003F433C"/>
    <w:rsid w:val="003F7312"/>
    <w:rsid w:val="004271C1"/>
    <w:rsid w:val="00445408"/>
    <w:rsid w:val="004460D6"/>
    <w:rsid w:val="00451C6C"/>
    <w:rsid w:val="00452DC3"/>
    <w:rsid w:val="00456745"/>
    <w:rsid w:val="00470903"/>
    <w:rsid w:val="004758A9"/>
    <w:rsid w:val="004823B1"/>
    <w:rsid w:val="00486A9E"/>
    <w:rsid w:val="004D09DB"/>
    <w:rsid w:val="005272BF"/>
    <w:rsid w:val="00537D59"/>
    <w:rsid w:val="00542691"/>
    <w:rsid w:val="005511E3"/>
    <w:rsid w:val="00551481"/>
    <w:rsid w:val="00565534"/>
    <w:rsid w:val="00570D61"/>
    <w:rsid w:val="0057151A"/>
    <w:rsid w:val="00572E33"/>
    <w:rsid w:val="00594AE0"/>
    <w:rsid w:val="005A75D1"/>
    <w:rsid w:val="005C00C0"/>
    <w:rsid w:val="005C2FE8"/>
    <w:rsid w:val="005C3D3C"/>
    <w:rsid w:val="005F490C"/>
    <w:rsid w:val="005F4F0C"/>
    <w:rsid w:val="006124BB"/>
    <w:rsid w:val="00613974"/>
    <w:rsid w:val="006157F2"/>
    <w:rsid w:val="006249F4"/>
    <w:rsid w:val="00631223"/>
    <w:rsid w:val="006504DB"/>
    <w:rsid w:val="00684524"/>
    <w:rsid w:val="00694B5A"/>
    <w:rsid w:val="006A487F"/>
    <w:rsid w:val="006A7AA3"/>
    <w:rsid w:val="006D6CFC"/>
    <w:rsid w:val="006E05A2"/>
    <w:rsid w:val="006E08F2"/>
    <w:rsid w:val="00703C2F"/>
    <w:rsid w:val="0074270F"/>
    <w:rsid w:val="00744883"/>
    <w:rsid w:val="00744AEE"/>
    <w:rsid w:val="00762765"/>
    <w:rsid w:val="007B07B8"/>
    <w:rsid w:val="007B19D2"/>
    <w:rsid w:val="007B2F77"/>
    <w:rsid w:val="007D4E71"/>
    <w:rsid w:val="007D7DFD"/>
    <w:rsid w:val="007E296A"/>
    <w:rsid w:val="007E5080"/>
    <w:rsid w:val="007F31BD"/>
    <w:rsid w:val="007F3423"/>
    <w:rsid w:val="007F64D9"/>
    <w:rsid w:val="0081261C"/>
    <w:rsid w:val="00814AC4"/>
    <w:rsid w:val="00817FF2"/>
    <w:rsid w:val="0082388F"/>
    <w:rsid w:val="00834976"/>
    <w:rsid w:val="00852821"/>
    <w:rsid w:val="00867B7C"/>
    <w:rsid w:val="00871816"/>
    <w:rsid w:val="0088367B"/>
    <w:rsid w:val="008843EE"/>
    <w:rsid w:val="008953DF"/>
    <w:rsid w:val="008A0246"/>
    <w:rsid w:val="008D1C15"/>
    <w:rsid w:val="00902DEA"/>
    <w:rsid w:val="009123E4"/>
    <w:rsid w:val="00920F90"/>
    <w:rsid w:val="00932062"/>
    <w:rsid w:val="00942DDC"/>
    <w:rsid w:val="009433CF"/>
    <w:rsid w:val="00944A71"/>
    <w:rsid w:val="00962A5B"/>
    <w:rsid w:val="009637CB"/>
    <w:rsid w:val="009A17B6"/>
    <w:rsid w:val="009B56F2"/>
    <w:rsid w:val="009C16D7"/>
    <w:rsid w:val="009D252B"/>
    <w:rsid w:val="009E60D2"/>
    <w:rsid w:val="009F739B"/>
    <w:rsid w:val="00A1209C"/>
    <w:rsid w:val="00A331A1"/>
    <w:rsid w:val="00A4470F"/>
    <w:rsid w:val="00A47175"/>
    <w:rsid w:val="00A67633"/>
    <w:rsid w:val="00A755AF"/>
    <w:rsid w:val="00A82F95"/>
    <w:rsid w:val="00AA74D9"/>
    <w:rsid w:val="00AB0CDE"/>
    <w:rsid w:val="00AB1B0B"/>
    <w:rsid w:val="00AB5F6A"/>
    <w:rsid w:val="00AC32A8"/>
    <w:rsid w:val="00AC62E4"/>
    <w:rsid w:val="00AD19DE"/>
    <w:rsid w:val="00AF0C8B"/>
    <w:rsid w:val="00AF389A"/>
    <w:rsid w:val="00B456CF"/>
    <w:rsid w:val="00B625FD"/>
    <w:rsid w:val="00B70E18"/>
    <w:rsid w:val="00B74B21"/>
    <w:rsid w:val="00B765C1"/>
    <w:rsid w:val="00B77B16"/>
    <w:rsid w:val="00B77D3F"/>
    <w:rsid w:val="00BB43F6"/>
    <w:rsid w:val="00BB44A6"/>
    <w:rsid w:val="00BB63F8"/>
    <w:rsid w:val="00BD5907"/>
    <w:rsid w:val="00BE6302"/>
    <w:rsid w:val="00C151A4"/>
    <w:rsid w:val="00C369A7"/>
    <w:rsid w:val="00C45F41"/>
    <w:rsid w:val="00C64BD3"/>
    <w:rsid w:val="00C666BC"/>
    <w:rsid w:val="00C83C5A"/>
    <w:rsid w:val="00C874FD"/>
    <w:rsid w:val="00C953F2"/>
    <w:rsid w:val="00CB15EC"/>
    <w:rsid w:val="00CB1A64"/>
    <w:rsid w:val="00CC6DDE"/>
    <w:rsid w:val="00CD2E85"/>
    <w:rsid w:val="00CD5C8B"/>
    <w:rsid w:val="00CD714F"/>
    <w:rsid w:val="00CD72AA"/>
    <w:rsid w:val="00CE1E4F"/>
    <w:rsid w:val="00CE41CC"/>
    <w:rsid w:val="00D03F66"/>
    <w:rsid w:val="00D20A96"/>
    <w:rsid w:val="00D30C69"/>
    <w:rsid w:val="00D402D1"/>
    <w:rsid w:val="00D6223B"/>
    <w:rsid w:val="00D666DB"/>
    <w:rsid w:val="00D91873"/>
    <w:rsid w:val="00D95932"/>
    <w:rsid w:val="00DA0431"/>
    <w:rsid w:val="00DA088D"/>
    <w:rsid w:val="00DA43FC"/>
    <w:rsid w:val="00DD755D"/>
    <w:rsid w:val="00DE6EE9"/>
    <w:rsid w:val="00DE7798"/>
    <w:rsid w:val="00DF3207"/>
    <w:rsid w:val="00DF6CF2"/>
    <w:rsid w:val="00E0495A"/>
    <w:rsid w:val="00E07A8B"/>
    <w:rsid w:val="00E105C4"/>
    <w:rsid w:val="00E10F9A"/>
    <w:rsid w:val="00E117A6"/>
    <w:rsid w:val="00E16502"/>
    <w:rsid w:val="00E34652"/>
    <w:rsid w:val="00E34C47"/>
    <w:rsid w:val="00E432F3"/>
    <w:rsid w:val="00E528B9"/>
    <w:rsid w:val="00E64241"/>
    <w:rsid w:val="00E73703"/>
    <w:rsid w:val="00E96592"/>
    <w:rsid w:val="00EA119D"/>
    <w:rsid w:val="00EA74F2"/>
    <w:rsid w:val="00EB38D0"/>
    <w:rsid w:val="00EE5879"/>
    <w:rsid w:val="00EF1BBA"/>
    <w:rsid w:val="00EF1ECB"/>
    <w:rsid w:val="00F14763"/>
    <w:rsid w:val="00F2025C"/>
    <w:rsid w:val="00F23BD7"/>
    <w:rsid w:val="00F46560"/>
    <w:rsid w:val="00F64A0D"/>
    <w:rsid w:val="00F72E03"/>
    <w:rsid w:val="00F74949"/>
    <w:rsid w:val="00F84746"/>
    <w:rsid w:val="00F9064C"/>
    <w:rsid w:val="00F90B3B"/>
    <w:rsid w:val="00F973CF"/>
    <w:rsid w:val="00FB4936"/>
    <w:rsid w:val="00FB68AA"/>
    <w:rsid w:val="00FD421A"/>
    <w:rsid w:val="00FD717B"/>
    <w:rsid w:val="00FE02A4"/>
    <w:rsid w:val="00FE52AE"/>
    <w:rsid w:val="5726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Pr>
      <w:rFonts w:eastAsia="Calibri"/>
      <w:sz w:val="28"/>
    </w:rPr>
  </w:style>
  <w:style w:type="paragraph" w:styleId="a6">
    <w:name w:val="Body Text Indent"/>
    <w:basedOn w:val="a"/>
    <w:link w:val="a7"/>
    <w:pPr>
      <w:ind w:firstLine="720"/>
    </w:pPr>
    <w:rPr>
      <w:rFonts w:eastAsia="Calibri"/>
      <w:sz w:val="28"/>
    </w:rPr>
  </w:style>
  <w:style w:type="paragraph" w:styleId="20">
    <w:name w:val="Body Text Indent 2"/>
    <w:basedOn w:val="a"/>
    <w:link w:val="21"/>
    <w:qFormat/>
    <w:pPr>
      <w:ind w:firstLine="720"/>
      <w:jc w:val="both"/>
    </w:pPr>
    <w:rPr>
      <w:rFonts w:eastAsia="Calibri"/>
      <w:sz w:val="28"/>
    </w:rPr>
  </w:style>
  <w:style w:type="character" w:customStyle="1" w:styleId="a5">
    <w:name w:val="Основной текст Знак"/>
    <w:basedOn w:val="a0"/>
    <w:link w:val="a4"/>
    <w:locked/>
    <w:rPr>
      <w:rFonts w:eastAsia="Calibri"/>
      <w:sz w:val="28"/>
      <w:szCs w:val="24"/>
      <w:lang w:val="ru-RU" w:eastAsia="ru-RU" w:bidi="ar-SA"/>
    </w:rPr>
  </w:style>
  <w:style w:type="character" w:customStyle="1" w:styleId="a7">
    <w:name w:val="Основной текст с отступом Знак"/>
    <w:basedOn w:val="a0"/>
    <w:link w:val="a6"/>
    <w:locked/>
    <w:rPr>
      <w:rFonts w:eastAsia="Calibri"/>
      <w:sz w:val="28"/>
      <w:szCs w:val="24"/>
      <w:lang w:val="ru-RU" w:eastAsia="ru-RU" w:bidi="ar-SA"/>
    </w:rPr>
  </w:style>
  <w:style w:type="character" w:customStyle="1" w:styleId="21">
    <w:name w:val="Основной текст с отступом 2 Знак"/>
    <w:basedOn w:val="a0"/>
    <w:link w:val="20"/>
    <w:locked/>
    <w:rPr>
      <w:rFonts w:eastAsia="Calibri"/>
      <w:sz w:val="28"/>
      <w:szCs w:val="24"/>
      <w:lang w:val="ru-RU" w:eastAsia="ru-RU" w:bidi="ar-SA"/>
    </w:rPr>
  </w:style>
  <w:style w:type="paragraph" w:customStyle="1" w:styleId="22">
    <w:name w:val="Знак2"/>
    <w:basedOn w:val="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обычный_1 Знак Знак Знак Знак Знак Знак Знак Знак Знак"/>
    <w:basedOn w:val="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603639-38B8-4F4D-BEB7-90A5F0275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1322</Words>
  <Characters>7538</Characters>
  <Application>Microsoft Office Word</Application>
  <DocSecurity>0</DocSecurity>
  <Lines>62</Lines>
  <Paragraphs>17</Paragraphs>
  <ScaleCrop>false</ScaleCrop>
  <Company>Hewlett-Packard Company</Company>
  <LinksUpToDate>false</LinksUpToDate>
  <CharactersWithSpaces>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Main</dc:creator>
  <cp:lastModifiedBy>Volkova</cp:lastModifiedBy>
  <cp:revision>6</cp:revision>
  <cp:lastPrinted>2018-11-20T11:40:00Z</cp:lastPrinted>
  <dcterms:created xsi:type="dcterms:W3CDTF">2018-11-20T08:12:00Z</dcterms:created>
  <dcterms:modified xsi:type="dcterms:W3CDTF">2018-11-21T06:04:00Z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1049-10.2.0.7549</vt:lpwstr>
  </property>
</Properties>
</file>