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456F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56F75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908">
        <w:rPr>
          <w:rFonts w:ascii="Times New Roman" w:hAnsi="Times New Roman"/>
          <w:color w:val="000000"/>
          <w:sz w:val="28"/>
          <w:szCs w:val="28"/>
        </w:rPr>
        <w:t>20.04.2023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908">
        <w:rPr>
          <w:rFonts w:ascii="Times New Roman" w:hAnsi="Times New Roman"/>
          <w:color w:val="000000"/>
          <w:sz w:val="28"/>
          <w:szCs w:val="28"/>
        </w:rPr>
        <w:t>122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C26182">
        <w:rPr>
          <w:rFonts w:ascii="Times New Roman" w:hAnsi="Times New Roman"/>
          <w:color w:val="000000"/>
          <w:sz w:val="28"/>
          <w:szCs w:val="28"/>
        </w:rPr>
        <w:t>01.03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C26182">
        <w:rPr>
          <w:rFonts w:ascii="Times New Roman" w:hAnsi="Times New Roman"/>
          <w:sz w:val="28"/>
          <w:szCs w:val="28"/>
        </w:rPr>
        <w:t>62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82" w:rsidRDefault="00C26182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C51C8C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 w:rsidP="00B73FF6">
      <w:pPr>
        <w:spacing w:after="0" w:line="240" w:lineRule="auto"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  </w:t>
      </w:r>
      <w:r w:rsidR="00B36E74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      И.Л. Кочетков</w:t>
      </w:r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Ровная, ул. Краснодарская, уличное </w:t>
            </w:r>
            <w:r w:rsidRPr="00E00411">
              <w:rPr>
                <w:rFonts w:ascii="Times New Roman" w:hAnsi="Times New Roman"/>
              </w:rPr>
              <w:lastRenderedPageBreak/>
              <w:t xml:space="preserve">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7159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для отдыха жителей и гостей </w:t>
            </w:r>
            <w:r>
              <w:rPr>
                <w:rFonts w:ascii="Times New Roman" w:hAnsi="Times New Roman"/>
                <w:iCs/>
              </w:rPr>
              <w:lastRenderedPageBreak/>
              <w:t>поселения;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6E70EC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59D5"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C26182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5289,9</w:t>
            </w:r>
          </w:p>
        </w:tc>
        <w:tc>
          <w:tcPr>
            <w:tcW w:w="1276" w:type="dxa"/>
          </w:tcPr>
          <w:p w:rsidR="007159D5" w:rsidRPr="001D2558" w:rsidRDefault="00C26182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5289,9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B36E7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276" w:type="dxa"/>
          </w:tcPr>
          <w:p w:rsidR="007159D5" w:rsidRPr="001D2558" w:rsidRDefault="00B36E7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МАФ для парковой зоны (скамейки, урны по мере необходимости), комплектующих для </w:t>
            </w:r>
            <w:r>
              <w:rPr>
                <w:rFonts w:ascii="Times New Roman" w:hAnsi="Times New Roman"/>
              </w:rPr>
              <w:lastRenderedPageBreak/>
              <w:t>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</w:t>
            </w:r>
            <w:r>
              <w:rPr>
                <w:rFonts w:ascii="Times New Roman" w:hAnsi="Times New Roman"/>
              </w:rPr>
              <w:lastRenderedPageBreak/>
              <w:t xml:space="preserve">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 w:val="restart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793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2410" w:type="dxa"/>
          </w:tcPr>
          <w:p w:rsidR="002911D4" w:rsidRDefault="002911D4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BA46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 w:val="restart"/>
          </w:tcPr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911D4" w:rsidRDefault="002911D4" w:rsidP="00BA46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BA46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благоустройству территории парка в п. Дальний </w:t>
            </w:r>
            <w:r w:rsidR="00E43090">
              <w:rPr>
                <w:rFonts w:ascii="Times New Roman" w:hAnsi="Times New Roman"/>
              </w:rPr>
              <w:t xml:space="preserve">по ул. Центральная, 2б </w:t>
            </w:r>
            <w:r>
              <w:rPr>
                <w:rFonts w:ascii="Times New Roman" w:hAnsi="Times New Roman"/>
              </w:rPr>
              <w:t>в рамках реализации краевого конкурса проектов местных инициатив</w:t>
            </w:r>
          </w:p>
        </w:tc>
        <w:tc>
          <w:tcPr>
            <w:tcW w:w="2410" w:type="dxa"/>
          </w:tcPr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CF484E" w:rsidRDefault="00CF484E" w:rsidP="00BA4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F484E" w:rsidRDefault="00CF484E" w:rsidP="00BA46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BA467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</w:t>
            </w:r>
            <w:r w:rsidR="004D4D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</w:t>
            </w:r>
            <w:r w:rsidR="004D4D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5261,6</w:t>
            </w:r>
          </w:p>
        </w:tc>
        <w:tc>
          <w:tcPr>
            <w:tcW w:w="1276" w:type="dxa"/>
          </w:tcPr>
          <w:p w:rsidR="00CF484E" w:rsidRDefault="00CF484E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5261,6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rPr>
          <w:trHeight w:val="465"/>
        </w:trPr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7159D5"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AF367F" w:rsidRDefault="007159D5" w:rsidP="00B73FF6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</w:t>
      </w:r>
      <w:r w:rsidR="00CF484E">
        <w:rPr>
          <w:rFonts w:ascii="Times New Roman" w:hAnsi="Times New Roman"/>
          <w:sz w:val="28"/>
          <w:szCs w:val="28"/>
        </w:rPr>
        <w:t>Л.В. Кравченко</w:t>
      </w: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B73FF6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A6CA2"/>
    <w:rsid w:val="001A79DE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911D4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C251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1434"/>
    <w:rsid w:val="004367BA"/>
    <w:rsid w:val="00444888"/>
    <w:rsid w:val="00450414"/>
    <w:rsid w:val="0045380E"/>
    <w:rsid w:val="00456F75"/>
    <w:rsid w:val="00465A65"/>
    <w:rsid w:val="00471A3E"/>
    <w:rsid w:val="00474356"/>
    <w:rsid w:val="00477C06"/>
    <w:rsid w:val="00486E12"/>
    <w:rsid w:val="004A014E"/>
    <w:rsid w:val="004A34A7"/>
    <w:rsid w:val="004B7887"/>
    <w:rsid w:val="004C157C"/>
    <w:rsid w:val="004C5D81"/>
    <w:rsid w:val="004C759C"/>
    <w:rsid w:val="004C7A28"/>
    <w:rsid w:val="004C7C4E"/>
    <w:rsid w:val="004D4D3F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E70EC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396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8F5571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1908"/>
    <w:rsid w:val="00995423"/>
    <w:rsid w:val="009966FE"/>
    <w:rsid w:val="00996E22"/>
    <w:rsid w:val="009A6DAE"/>
    <w:rsid w:val="009A77ED"/>
    <w:rsid w:val="009B0C2E"/>
    <w:rsid w:val="009B3085"/>
    <w:rsid w:val="009C2678"/>
    <w:rsid w:val="009C371A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3FF6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1347"/>
    <w:rsid w:val="00BE2103"/>
    <w:rsid w:val="00BE7B67"/>
    <w:rsid w:val="00BF3B3C"/>
    <w:rsid w:val="00BF55C9"/>
    <w:rsid w:val="00C0102B"/>
    <w:rsid w:val="00C16335"/>
    <w:rsid w:val="00C16EAF"/>
    <w:rsid w:val="00C26182"/>
    <w:rsid w:val="00C31E53"/>
    <w:rsid w:val="00C33AD6"/>
    <w:rsid w:val="00C367B7"/>
    <w:rsid w:val="00C51C8C"/>
    <w:rsid w:val="00C55B77"/>
    <w:rsid w:val="00C6241A"/>
    <w:rsid w:val="00C64A8B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1D17"/>
    <w:rsid w:val="00CD37C3"/>
    <w:rsid w:val="00CF484E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43090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2023-04-28T07:01:00Z</cp:lastPrinted>
  <dcterms:created xsi:type="dcterms:W3CDTF">2023-01-30T12:19:00Z</dcterms:created>
  <dcterms:modified xsi:type="dcterms:W3CDTF">2023-06-30T10:51:00Z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